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39" w:rsidRDefault="00551282">
      <w:pPr>
        <w:pStyle w:val="ab"/>
        <w:tabs>
          <w:tab w:val="clear" w:pos="4677"/>
          <w:tab w:val="clear" w:pos="9355"/>
        </w:tabs>
        <w:spacing w:after="6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</w:rPr>
        <w:t>ОТЧЁТ</w:t>
      </w:r>
    </w:p>
    <w:p w:rsidR="00024D39" w:rsidRDefault="00551282">
      <w:pPr>
        <w:pStyle w:val="ab"/>
        <w:tabs>
          <w:tab w:val="clear" w:pos="4677"/>
          <w:tab w:val="clear" w:pos="9355"/>
        </w:tabs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ОБ ИТОГАХ ГОЛОСОВАНИЯ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240"/>
        <w:jc w:val="both"/>
      </w:pPr>
      <w:r>
        <w:t xml:space="preserve">Полное фирменное наименование Общества: </w:t>
      </w:r>
      <w:r>
        <w:rPr>
          <w:i/>
          <w:iCs/>
        </w:rPr>
        <w:t>Акционерное общество «Газпром газораспределение Смоленск» (далее по тексту – Общество).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  <w:rPr>
          <w:i/>
          <w:iCs/>
        </w:rPr>
      </w:pPr>
      <w:r>
        <w:t>Место нахождения Общества:</w:t>
      </w:r>
      <w:r>
        <w:rPr>
          <w:i/>
          <w:iCs/>
        </w:rPr>
        <w:t xml:space="preserve"> Российская Федерация, город Смоленск.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  <w:rPr>
          <w:i/>
          <w:iCs/>
        </w:rPr>
      </w:pPr>
      <w:r>
        <w:t>Адрес Общества:</w:t>
      </w:r>
      <w:r>
        <w:rPr>
          <w:i/>
          <w:iCs/>
        </w:rPr>
        <w:t xml:space="preserve"> 214019, Смоленская область, г. Смоленск, Трамвайный проезд, д. 10.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</w:pPr>
      <w:r>
        <w:t>Вид общего собрания акционеров:</w:t>
      </w:r>
      <w:r>
        <w:rPr>
          <w:i/>
          <w:iCs/>
        </w:rPr>
        <w:t xml:space="preserve"> внеочередное.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</w:pPr>
      <w:r>
        <w:t>Способ принятия решений общим собранием акционеров:</w:t>
      </w:r>
      <w:r>
        <w:rPr>
          <w:b/>
          <w:bCs/>
        </w:rPr>
        <w:t xml:space="preserve"> </w:t>
      </w:r>
      <w:r>
        <w:rPr>
          <w:i/>
          <w:iCs/>
        </w:rPr>
        <w:t>заочное голосование.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  <w:rPr>
          <w:i/>
          <w:iCs/>
        </w:rPr>
      </w:pPr>
      <w:r>
        <w:t xml:space="preserve">Дата окончания приема бюллетеней для голосования: </w:t>
      </w:r>
      <w:r>
        <w:rPr>
          <w:i/>
          <w:iCs/>
        </w:rPr>
        <w:t>09 октября 2026 г.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</w:pPr>
      <w:r>
        <w:t xml:space="preserve">Дата определения (фиксации) лиц, имевших право </w:t>
      </w:r>
      <w:bookmarkStart w:id="1" w:name="_Hlk189122567"/>
      <w:r>
        <w:t>голоса при принятии решений общим собранием</w:t>
      </w:r>
      <w:bookmarkEnd w:id="1"/>
      <w:r>
        <w:t xml:space="preserve"> акционеров: </w:t>
      </w:r>
      <w:r>
        <w:rPr>
          <w:i/>
        </w:rPr>
        <w:t>15 сентября 2026 г.</w:t>
      </w:r>
    </w:p>
    <w:p w:rsidR="00024D39" w:rsidRDefault="00551282">
      <w:pPr>
        <w:pStyle w:val="Normal0"/>
        <w:spacing w:before="120" w:after="60"/>
      </w:pPr>
      <w:r>
        <w:t>Повестка дня:</w:t>
      </w:r>
    </w:p>
    <w:tbl>
      <w:tblPr>
        <w:tblW w:w="9322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67"/>
        <w:gridCol w:w="8755"/>
      </w:tblGrid>
      <w:tr w:rsidR="00024D39">
        <w:trPr>
          <w:trHeight w:val="284"/>
        </w:trPr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0"/>
              <w:rPr>
                <w:i/>
                <w:iCs/>
              </w:rPr>
            </w:pPr>
            <w:r>
              <w:rPr>
                <w:i/>
                <w:iCs/>
              </w:rPr>
              <w:t>1.</w:t>
            </w:r>
          </w:p>
        </w:tc>
        <w:tc>
          <w:tcPr>
            <w:tcW w:w="8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left w:w="57" w:type="dxa"/>
            </w:tcMar>
          </w:tcPr>
          <w:p w:rsidR="00024D39" w:rsidRDefault="00551282">
            <w:pPr>
              <w:pStyle w:val="Normal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О распределении части нераспределенной прибыли.</w:t>
            </w:r>
          </w:p>
        </w:tc>
      </w:tr>
    </w:tbl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  <w:rPr>
          <w:i/>
          <w:iCs/>
        </w:rPr>
      </w:pPr>
      <w:r>
        <w:t>Полное фирменное наименование регистратора,</w:t>
      </w:r>
      <w:r>
        <w:rPr>
          <w:b/>
          <w:bCs/>
        </w:rPr>
        <w:t xml:space="preserve"> </w:t>
      </w:r>
      <w:r>
        <w:t xml:space="preserve">исполняющего функции Счетной комиссии: </w:t>
      </w:r>
      <w:r>
        <w:rPr>
          <w:i/>
        </w:rPr>
        <w:t>Акционерное общество «Специализированный регистратор – Держатель реестров акционеров газовой промышленности» (АО «ДРАГА») (далее по тексту -Регистратор).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</w:pPr>
      <w:r>
        <w:t>Место нахождения Регистратора: г. Санкт-Петербург.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/>
        <w:jc w:val="both"/>
        <w:rPr>
          <w:i/>
          <w:iCs/>
          <w:u w:val="single"/>
        </w:rPr>
      </w:pPr>
      <w:r>
        <w:t>Адрес Регистратора: 190000, г. Санкт-Петербург, вн.тер.г. муниципальный округ Адмиралтейский округ, б-р Конногвардейский, д. 4, литера А.</w:t>
      </w:r>
    </w:p>
    <w:p w:rsidR="00024D39" w:rsidRDefault="00551282">
      <w:pPr>
        <w:pStyle w:val="ab"/>
        <w:tabs>
          <w:tab w:val="clear" w:pos="4677"/>
          <w:tab w:val="clear" w:pos="9355"/>
        </w:tabs>
        <w:spacing w:before="120" w:after="120"/>
        <w:jc w:val="both"/>
      </w:pPr>
      <w:r>
        <w:t>Лицо, уполномоченное Регистратором, исполняющим функции Счетной комиссии:</w:t>
      </w:r>
    </w:p>
    <w:tbl>
      <w:tblPr>
        <w:tblW w:w="9322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67"/>
        <w:gridCol w:w="8755"/>
      </w:tblGrid>
      <w:tr w:rsidR="00024D39">
        <w:trPr>
          <w:trHeight w:val="284"/>
        </w:trPr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024D39">
            <w:pPr>
              <w:pStyle w:val="Normal0"/>
              <w:jc w:val="both"/>
              <w:rPr>
                <w:i/>
                <w:iCs/>
              </w:rPr>
            </w:pPr>
          </w:p>
        </w:tc>
        <w:tc>
          <w:tcPr>
            <w:tcW w:w="87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left w:w="57" w:type="dxa"/>
            </w:tcMar>
          </w:tcPr>
          <w:p w:rsidR="00024D39" w:rsidRDefault="00551282">
            <w:pPr>
              <w:pStyle w:val="Normal0"/>
              <w:rPr>
                <w:i/>
                <w:iCs/>
                <w:lang w:val="en-US"/>
              </w:rPr>
            </w:pPr>
            <w:r>
              <w:rPr>
                <w:i/>
                <w:iCs/>
              </w:rPr>
              <w:t>Быковский Михаил Юрьевич.</w:t>
            </w:r>
          </w:p>
        </w:tc>
      </w:tr>
    </w:tbl>
    <w:p w:rsidR="00024D39" w:rsidRDefault="00551282">
      <w:pPr>
        <w:pStyle w:val="Normal1"/>
        <w:tabs>
          <w:tab w:val="left" w:pos="284"/>
        </w:tabs>
        <w:spacing w:before="360" w:after="120"/>
        <w:jc w:val="both"/>
      </w:pPr>
      <w:r>
        <w:t>Итоги голосования по вопросу 1 повестки дня:</w:t>
      </w:r>
    </w:p>
    <w:p w:rsidR="00024D39" w:rsidRDefault="00551282">
      <w:pPr>
        <w:pStyle w:val="Normal1"/>
        <w:numPr>
          <w:ilvl w:val="0"/>
          <w:numId w:val="1"/>
        </w:numPr>
        <w:tabs>
          <w:tab w:val="left" w:pos="284"/>
        </w:tabs>
        <w:spacing w:before="360" w:after="120"/>
        <w:jc w:val="both"/>
      </w:pPr>
      <w:r>
        <w:t>Число голосов, которыми обладали лица, включенные в Список лиц, имевших право голоса при принятии решений общим собранием акционеров, по вопросу 1 повестки дня составило: 401 385.</w:t>
      </w:r>
    </w:p>
    <w:p w:rsidR="00024D39" w:rsidRDefault="00551282">
      <w:pPr>
        <w:pStyle w:val="Normal1"/>
        <w:numPr>
          <w:ilvl w:val="0"/>
          <w:numId w:val="1"/>
        </w:numPr>
        <w:tabs>
          <w:tab w:val="left" w:pos="284"/>
        </w:tabs>
        <w:spacing w:before="240" w:after="120"/>
        <w:jc w:val="both"/>
      </w:pPr>
      <w:r>
        <w:t>Число голосов, приходившихся на голосующие акции АО «Газпром газораспределение Смоленск», определенное с учетом положений пункта 4.24 Положения Банка России от 16 ноября 2018 г. № 660-п «Об общих собраниях акционеров», по вопросу 1 повестки дня составило: 401 385.</w:t>
      </w:r>
    </w:p>
    <w:p w:rsidR="00024D39" w:rsidRDefault="00551282">
      <w:pPr>
        <w:pStyle w:val="Normal1"/>
        <w:numPr>
          <w:ilvl w:val="0"/>
          <w:numId w:val="1"/>
        </w:numPr>
        <w:tabs>
          <w:tab w:val="left" w:pos="284"/>
        </w:tabs>
        <w:spacing w:before="240" w:after="120"/>
        <w:jc w:val="both"/>
      </w:pPr>
      <w:r>
        <w:t xml:space="preserve">Число голосов, которыми обладали лица, </w:t>
      </w:r>
      <w:bookmarkStart w:id="2" w:name="_Hlk193727793"/>
      <w:r>
        <w:t xml:space="preserve">участвовавшие в </w:t>
      </w:r>
      <w:bookmarkEnd w:id="2"/>
      <w:r>
        <w:t>заочном голосовании общего собрания акционеров, по вопросу 1 повестки дня составило: 342 797.</w:t>
      </w:r>
    </w:p>
    <w:p w:rsidR="00024D39" w:rsidRDefault="00551282">
      <w:pPr>
        <w:pStyle w:val="Normal1"/>
        <w:spacing w:before="240"/>
        <w:jc w:val="both"/>
      </w:pPr>
      <w:r>
        <w:t>Для принятия решения по вопросу 1 повестки дня кворум имелся.</w:t>
      </w:r>
    </w:p>
    <w:p w:rsidR="00024D39" w:rsidRDefault="00551282">
      <w:pPr>
        <w:pStyle w:val="Normal1"/>
        <w:tabs>
          <w:tab w:val="left" w:pos="284"/>
        </w:tabs>
        <w:spacing w:before="240"/>
        <w:jc w:val="both"/>
      </w:pPr>
      <w:r>
        <w:t>4. Число голосов, отданных за каждый из вариантов голосования по вопросу 1 повестки дня:</w:t>
      </w: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 w:rsidR="00024D39">
        <w:trPr>
          <w:trHeight w:hRule="exact" w:val="170"/>
        </w:trPr>
        <w:tc>
          <w:tcPr>
            <w:tcW w:w="9288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024D39">
            <w:pPr>
              <w:pStyle w:val="Normal1"/>
              <w:jc w:val="both"/>
            </w:pPr>
          </w:p>
        </w:tc>
      </w:tr>
      <w:tr w:rsidR="00024D39">
        <w:tc>
          <w:tcPr>
            <w:tcW w:w="8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024D39">
            <w:pPr>
              <w:pStyle w:val="Normal1"/>
              <w:jc w:val="both"/>
            </w:pPr>
          </w:p>
        </w:tc>
        <w:tc>
          <w:tcPr>
            <w:tcW w:w="23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both"/>
              <w:rPr>
                <w:lang w:val="en-US"/>
              </w:rPr>
            </w:pPr>
            <w:r>
              <w:t>«ЗА»</w:t>
            </w:r>
          </w:p>
        </w:tc>
        <w:tc>
          <w:tcPr>
            <w:tcW w:w="30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right"/>
              <w:rPr>
                <w:lang w:val="en-US"/>
              </w:rPr>
            </w:pPr>
            <w:r>
              <w:rPr>
                <w:lang w:val="en-US"/>
              </w:rPr>
              <w:t>326 246</w:t>
            </w:r>
          </w:p>
        </w:tc>
        <w:tc>
          <w:tcPr>
            <w:tcW w:w="30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(95,171</w:t>
            </w:r>
            <w:r>
              <w:t>7</w:t>
            </w:r>
            <w:r>
              <w:rPr>
                <w:lang w:val="en-US"/>
              </w:rPr>
              <w:t>%)</w:t>
            </w:r>
          </w:p>
        </w:tc>
      </w:tr>
      <w:tr w:rsidR="00024D39">
        <w:tc>
          <w:tcPr>
            <w:tcW w:w="8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024D39">
            <w:pPr>
              <w:pStyle w:val="Normal1"/>
              <w:jc w:val="both"/>
              <w:rPr>
                <w:lang w:val="en-US"/>
              </w:rPr>
            </w:pPr>
          </w:p>
        </w:tc>
        <w:tc>
          <w:tcPr>
            <w:tcW w:w="23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both"/>
              <w:rPr>
                <w:lang w:val="en-US"/>
              </w:rPr>
            </w:pPr>
            <w:r>
              <w:t>«ПРОТИВ»</w:t>
            </w:r>
          </w:p>
        </w:tc>
        <w:tc>
          <w:tcPr>
            <w:tcW w:w="30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30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</w:p>
        </w:tc>
      </w:tr>
      <w:tr w:rsidR="00024D39">
        <w:tc>
          <w:tcPr>
            <w:tcW w:w="8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024D39">
            <w:pPr>
              <w:pStyle w:val="Normal1"/>
              <w:jc w:val="both"/>
              <w:rPr>
                <w:lang w:val="en-US"/>
              </w:rPr>
            </w:pPr>
          </w:p>
        </w:tc>
        <w:tc>
          <w:tcPr>
            <w:tcW w:w="23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both"/>
              <w:rPr>
                <w:lang w:val="en-US"/>
              </w:rPr>
            </w:pPr>
            <w:r>
              <w:t>«ВОЗДЕРЖАЛСЯ»</w:t>
            </w:r>
          </w:p>
        </w:tc>
        <w:tc>
          <w:tcPr>
            <w:tcW w:w="30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right"/>
              <w:rPr>
                <w:lang w:val="en-US"/>
              </w:rPr>
            </w:pPr>
            <w:r>
              <w:rPr>
                <w:lang w:val="en-US"/>
              </w:rPr>
              <w:t>16 354</w:t>
            </w:r>
          </w:p>
        </w:tc>
        <w:tc>
          <w:tcPr>
            <w:tcW w:w="30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D39" w:rsidRDefault="00551282">
            <w:pPr>
              <w:pStyle w:val="Normal1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(4,7708%)</w:t>
            </w:r>
          </w:p>
        </w:tc>
      </w:tr>
    </w:tbl>
    <w:p w:rsidR="00024D39" w:rsidRDefault="00551282">
      <w:pPr>
        <w:pStyle w:val="Normal1"/>
        <w:tabs>
          <w:tab w:val="left" w:pos="284"/>
        </w:tabs>
        <w:spacing w:before="240"/>
        <w:jc w:val="both"/>
      </w:pPr>
      <w:r>
        <w:t>5. Число голосов по вопросу 1 повестки дня общего собрания акционеров, поставленному на голосование, которые не подсчитывались в связи с признанием бюллетеней для голосования недействительными или по иным основаниям, составило: 197 (0,0575%).</w:t>
      </w:r>
    </w:p>
    <w:p w:rsidR="00024D39" w:rsidRDefault="00551282">
      <w:pPr>
        <w:pStyle w:val="Normal1"/>
        <w:tabs>
          <w:tab w:val="left" w:pos="284"/>
        </w:tabs>
        <w:spacing w:before="240"/>
        <w:jc w:val="both"/>
      </w:pPr>
      <w:r>
        <w:lastRenderedPageBreak/>
        <w:t>6. Формулировка решения, принятого общим собранием акционеров, по вопросу 1 повестки дня:</w:t>
      </w:r>
    </w:p>
    <w:p w:rsidR="00024D39" w:rsidRDefault="00551282">
      <w:pPr>
        <w:pStyle w:val="Normal1"/>
        <w:ind w:firstLine="357"/>
        <w:jc w:val="both"/>
        <w:outlineLvl w:val="0"/>
        <w:rPr>
          <w:i/>
          <w:iCs/>
        </w:rPr>
      </w:pPr>
      <w:r>
        <w:rPr>
          <w:i/>
          <w:iCs/>
        </w:rPr>
        <w:t>«Часть нераспределенной прибыли Общества в размере 173 116 507 руб. 52 коп. направить:</w:t>
      </w:r>
    </w:p>
    <w:p w:rsidR="00024D39" w:rsidRDefault="00551282">
      <w:pPr>
        <w:pStyle w:val="Normal1"/>
        <w:ind w:firstLine="357"/>
        <w:jc w:val="both"/>
        <w:outlineLvl w:val="0"/>
        <w:rPr>
          <w:b/>
          <w:bCs/>
          <w:sz w:val="14"/>
          <w:szCs w:val="14"/>
        </w:rPr>
      </w:pPr>
      <w:r>
        <w:rPr>
          <w:i/>
          <w:iCs/>
        </w:rPr>
        <w:t>– на формирование источника финансирования инвестиционной программы для проектирования и строительства газопроводов в рамках исполнения мероприятий                    по догазификации за счет средств, полученных в результате размещения денежных средств, привлеченных по договорам финансирования от единого оператора газификации (ЕОГ): 36 110 561 руб. 56 коп.</w:t>
      </w:r>
    </w:p>
    <w:p w:rsidR="00024D39" w:rsidRDefault="00551282">
      <w:pPr>
        <w:pStyle w:val="Normal1"/>
        <w:ind w:firstLine="357"/>
        <w:jc w:val="both"/>
        <w:outlineLvl w:val="0"/>
        <w:rPr>
          <w:b/>
          <w:bCs/>
          <w:sz w:val="14"/>
          <w:szCs w:val="14"/>
        </w:rPr>
      </w:pPr>
      <w:r>
        <w:rPr>
          <w:i/>
          <w:iCs/>
        </w:rPr>
        <w:t>– на покрытие убытков прошлых лет: 135 812 199 руб. 49 коп;</w:t>
      </w:r>
    </w:p>
    <w:p w:rsidR="00024D39" w:rsidRDefault="00551282">
      <w:pPr>
        <w:pStyle w:val="Normal1"/>
        <w:ind w:firstLine="357"/>
        <w:jc w:val="both"/>
        <w:outlineLvl w:val="0"/>
        <w:rPr>
          <w:b/>
          <w:bCs/>
          <w:sz w:val="14"/>
          <w:szCs w:val="14"/>
        </w:rPr>
      </w:pPr>
      <w:r>
        <w:rPr>
          <w:i/>
          <w:iCs/>
        </w:rPr>
        <w:t>– на финансирование инвестиционных программ: 1 193 746 руб. 47 коп.»</w:t>
      </w:r>
    </w:p>
    <w:p w:rsidR="00024D39" w:rsidRDefault="00024D39">
      <w:pPr>
        <w:pStyle w:val="Normal4"/>
        <w:spacing w:after="200" w:line="276" w:lineRule="auto"/>
        <w:rPr>
          <w:lang w:eastAsia="en-US"/>
        </w:rPr>
      </w:pPr>
    </w:p>
    <w:p w:rsidR="00024D39" w:rsidRDefault="00551282">
      <w:pPr>
        <w:pStyle w:val="Normal4"/>
        <w:spacing w:after="200" w:line="276" w:lineRule="auto"/>
        <w:rPr>
          <w:sz w:val="24"/>
          <w:szCs w:val="24"/>
        </w:rPr>
      </w:pPr>
      <w:r>
        <w:rPr>
          <w:sz w:val="24"/>
          <w:szCs w:val="24"/>
          <w:lang w:eastAsia="en-US"/>
        </w:rPr>
        <w:t>Дата отчета 12.10.2026.</w:t>
      </w:r>
    </w:p>
    <w:p w:rsidR="00024D39" w:rsidRDefault="00024D39">
      <w:pPr>
        <w:pStyle w:val="Normal4"/>
        <w:rPr>
          <w:b/>
          <w:bCs/>
          <w:sz w:val="24"/>
          <w:szCs w:val="24"/>
          <w:lang w:eastAsia="en-US"/>
        </w:rPr>
      </w:pPr>
    </w:p>
    <w:p w:rsidR="00024D39" w:rsidRDefault="00024D39">
      <w:pPr>
        <w:pStyle w:val="Normal4"/>
        <w:rPr>
          <w:b/>
          <w:bCs/>
          <w:sz w:val="24"/>
          <w:szCs w:val="24"/>
          <w:lang w:eastAsia="en-US"/>
        </w:rPr>
      </w:pPr>
    </w:p>
    <w:p w:rsidR="00024D39" w:rsidRDefault="00551282">
      <w:pPr>
        <w:pStyle w:val="Normal4"/>
        <w:rPr>
          <w:b/>
          <w:bCs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Председатель Совета директоров</w:t>
      </w: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lang w:eastAsia="en-US"/>
        </w:rPr>
        <w:tab/>
        <w:t>п/п</w:t>
      </w: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lang w:eastAsia="en-US"/>
        </w:rPr>
        <w:tab/>
        <w:t xml:space="preserve">           О.А. Ляпустин</w:t>
      </w:r>
    </w:p>
    <w:p w:rsidR="00024D39" w:rsidRDefault="00024D39">
      <w:pPr>
        <w:pStyle w:val="Normal4"/>
        <w:rPr>
          <w:b/>
          <w:sz w:val="24"/>
          <w:szCs w:val="24"/>
          <w:lang w:eastAsia="en-US"/>
        </w:rPr>
      </w:pPr>
    </w:p>
    <w:p w:rsidR="00024D39" w:rsidRDefault="00024D39">
      <w:pPr>
        <w:pStyle w:val="Normal4"/>
        <w:rPr>
          <w:b/>
          <w:bCs/>
          <w:sz w:val="24"/>
          <w:szCs w:val="24"/>
          <w:lang w:eastAsia="en-US"/>
        </w:rPr>
      </w:pPr>
    </w:p>
    <w:p w:rsidR="00024D39" w:rsidRDefault="00024D39">
      <w:pPr>
        <w:pStyle w:val="Normal4"/>
        <w:rPr>
          <w:b/>
          <w:bCs/>
          <w:sz w:val="24"/>
          <w:szCs w:val="24"/>
          <w:lang w:eastAsia="en-US"/>
        </w:rPr>
      </w:pPr>
    </w:p>
    <w:p w:rsidR="00024D39" w:rsidRDefault="00551282">
      <w:pPr>
        <w:pStyle w:val="Normal4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Секретарь общего собрания акционеров</w:t>
      </w: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lang w:eastAsia="en-US"/>
        </w:rPr>
        <w:tab/>
        <w:t>п/п</w:t>
      </w: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lang w:eastAsia="en-US"/>
        </w:rPr>
        <w:tab/>
        <w:t xml:space="preserve">   А.И. Ивахин</w:t>
      </w:r>
    </w:p>
    <w:sectPr w:rsidR="00024D39">
      <w:headerReference w:type="default" r:id="rId7"/>
      <w:footnotePr>
        <w:pos w:val="beneathText"/>
      </w:footnotePr>
      <w:pgSz w:w="11906" w:h="16838"/>
      <w:pgMar w:top="567" w:right="709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142" w:rsidRDefault="00BC1142">
      <w:r>
        <w:separator/>
      </w:r>
    </w:p>
  </w:endnote>
  <w:endnote w:type="continuationSeparator" w:id="0">
    <w:p w:rsidR="00BC1142" w:rsidRDefault="00BC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142" w:rsidRDefault="00BC1142">
      <w:r>
        <w:separator/>
      </w:r>
    </w:p>
  </w:footnote>
  <w:footnote w:type="continuationSeparator" w:id="0">
    <w:p w:rsidR="00BC1142" w:rsidRDefault="00BC1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D39" w:rsidRDefault="00024D39">
    <w:pPr>
      <w:rPr>
        <w:i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922C5"/>
    <w:multiLevelType w:val="hybridMultilevel"/>
    <w:tmpl w:val="4D90ED56"/>
    <w:lvl w:ilvl="0" w:tplc="842C1E9E">
      <w:start w:val="1"/>
      <w:numFmt w:val="decimal"/>
      <w:suff w:val="space"/>
      <w:lvlText w:val="%1."/>
      <w:lvlJc w:val="left"/>
      <w:pPr>
        <w:ind w:left="0" w:firstLine="0"/>
      </w:pPr>
    </w:lvl>
    <w:lvl w:ilvl="1" w:tplc="FFB4421C">
      <w:start w:val="1"/>
      <w:numFmt w:val="lowerLetter"/>
      <w:lvlText w:val="%2."/>
      <w:lvlJc w:val="left"/>
      <w:pPr>
        <w:ind w:left="1440" w:hanging="360"/>
      </w:pPr>
    </w:lvl>
    <w:lvl w:ilvl="2" w:tplc="8A461BF8">
      <w:start w:val="1"/>
      <w:numFmt w:val="lowerRoman"/>
      <w:lvlText w:val="%3."/>
      <w:lvlJc w:val="right"/>
      <w:pPr>
        <w:ind w:left="2160" w:hanging="180"/>
      </w:pPr>
    </w:lvl>
    <w:lvl w:ilvl="3" w:tplc="76B6AB2C">
      <w:start w:val="1"/>
      <w:numFmt w:val="decimal"/>
      <w:lvlText w:val="%4."/>
      <w:lvlJc w:val="left"/>
      <w:pPr>
        <w:ind w:left="2880" w:hanging="360"/>
      </w:pPr>
    </w:lvl>
    <w:lvl w:ilvl="4" w:tplc="28F82B7E">
      <w:start w:val="1"/>
      <w:numFmt w:val="lowerLetter"/>
      <w:lvlText w:val="%5."/>
      <w:lvlJc w:val="left"/>
      <w:pPr>
        <w:ind w:left="3600" w:hanging="360"/>
      </w:pPr>
    </w:lvl>
    <w:lvl w:ilvl="5" w:tplc="F7AE7BB4">
      <w:start w:val="1"/>
      <w:numFmt w:val="lowerRoman"/>
      <w:lvlText w:val="%6."/>
      <w:lvlJc w:val="right"/>
      <w:pPr>
        <w:ind w:left="4320" w:hanging="180"/>
      </w:pPr>
    </w:lvl>
    <w:lvl w:ilvl="6" w:tplc="2EBA1A1C">
      <w:start w:val="1"/>
      <w:numFmt w:val="decimal"/>
      <w:lvlText w:val="%7."/>
      <w:lvlJc w:val="left"/>
      <w:pPr>
        <w:ind w:left="5040" w:hanging="360"/>
      </w:pPr>
    </w:lvl>
    <w:lvl w:ilvl="7" w:tplc="1D827282">
      <w:start w:val="1"/>
      <w:numFmt w:val="lowerLetter"/>
      <w:lvlText w:val="%8."/>
      <w:lvlJc w:val="left"/>
      <w:pPr>
        <w:ind w:left="5760" w:hanging="360"/>
      </w:pPr>
    </w:lvl>
    <w:lvl w:ilvl="8" w:tplc="761A5E5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oNotDisplayPageBoundaries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39"/>
    <w:rsid w:val="00024D39"/>
    <w:rsid w:val="00551282"/>
    <w:rsid w:val="006B0CA2"/>
    <w:rsid w:val="00BC1142"/>
    <w:rsid w:val="00E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AA3AD-C92A-4CA5-9435-B8493A98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Normal0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Pr>
      <w:rFonts w:eastAsia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Normal0">
    <w:name w:val="Normal_0"/>
    <w:qFormat/>
    <w:rPr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semiHidden/>
    <w:rPr>
      <w:rFonts w:cs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cs="Times New Roman"/>
      <w:sz w:val="24"/>
      <w:szCs w:val="24"/>
    </w:rPr>
  </w:style>
  <w:style w:type="paragraph" w:customStyle="1" w:styleId="Header0">
    <w:name w:val="Header_0"/>
    <w:basedOn w:val="Normal1"/>
    <w:link w:val="0"/>
    <w:uiPriority w:val="99"/>
    <w:pPr>
      <w:tabs>
        <w:tab w:val="center" w:pos="4677"/>
        <w:tab w:val="right" w:pos="9355"/>
      </w:tabs>
    </w:pPr>
  </w:style>
  <w:style w:type="paragraph" w:customStyle="1" w:styleId="Normal1">
    <w:name w:val="Normal_1"/>
    <w:qFormat/>
    <w:rPr>
      <w:sz w:val="24"/>
      <w:szCs w:val="24"/>
      <w:lang w:eastAsia="ru-RU"/>
    </w:rPr>
  </w:style>
  <w:style w:type="character" w:customStyle="1" w:styleId="0">
    <w:name w:val="Верхний колонтитул Знак_0"/>
    <w:link w:val="Header0"/>
    <w:uiPriority w:val="99"/>
    <w:semiHidden/>
    <w:rPr>
      <w:rFonts w:cs="Times New Roman"/>
      <w:sz w:val="24"/>
      <w:szCs w:val="24"/>
    </w:rPr>
  </w:style>
  <w:style w:type="paragraph" w:customStyle="1" w:styleId="Normal2">
    <w:name w:val="Normal_2"/>
    <w:qFormat/>
    <w:rPr>
      <w:rFonts w:eastAsia="Calibri"/>
      <w:sz w:val="28"/>
      <w:lang w:eastAsia="ru-RU"/>
    </w:rPr>
  </w:style>
  <w:style w:type="paragraph" w:customStyle="1" w:styleId="Normal3">
    <w:name w:val="Normal_3"/>
    <w:qFormat/>
    <w:rPr>
      <w:rFonts w:eastAsia="Calibri"/>
      <w:sz w:val="28"/>
      <w:lang w:eastAsia="ru-RU"/>
    </w:rPr>
  </w:style>
  <w:style w:type="paragraph" w:customStyle="1" w:styleId="Normal4">
    <w:name w:val="Normal_4"/>
    <w:qFormat/>
    <w:rPr>
      <w:rFonts w:eastAsia="Calibri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 Gazprom Mezhregiongaz Smolensk</Company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Быковский Михаил Юрьевич</dc:creator>
  <cp:lastModifiedBy>Матвеенкова Олеся Валентиновна</cp:lastModifiedBy>
  <cp:revision>2</cp:revision>
  <dcterms:created xsi:type="dcterms:W3CDTF">2026-10-14T06:45:00Z</dcterms:created>
  <dcterms:modified xsi:type="dcterms:W3CDTF">2026-10-14T06:45:00Z</dcterms:modified>
  <cp:version>917504</cp:version>
</cp:coreProperties>
</file>